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onsPlusNormal"/>
        <w:widowControl/>
        <w:tabs>
          <w:tab w:val="left" w:pos="6663"/>
        </w:tabs>
        <w:ind w:firstLine="666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 13</w:t>
      </w:r>
    </w:p>
    <w:p>
      <w:pPr>
        <w:pStyle w:val="ConsPlusNormal"/>
        <w:widowControl/>
        <w:tabs>
          <w:tab w:val="left" w:pos="6663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 Дополнительному тарифному </w:t>
      </w:r>
    </w:p>
    <w:p>
      <w:pPr>
        <w:pStyle w:val="ConsPlusNormal"/>
        <w:widowControl/>
        <w:tabs>
          <w:tab w:val="left" w:pos="6663"/>
        </w:tabs>
        <w:ind w:left="6663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соглашению № 8 </w:t>
      </w:r>
    </w:p>
    <w:p>
      <w:pPr>
        <w:pStyle w:val="ConsPlusNormal"/>
        <w:widowControl/>
        <w:tabs>
          <w:tab w:val="left" w:pos="7020"/>
        </w:tabs>
        <w:ind w:left="6663" w:firstLine="0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 w:cs="Times New Roman"/>
          <w:sz w:val="22"/>
          <w:szCs w:val="22"/>
        </w:rPr>
        <w:t>от «01»  ноября  2016 г.</w:t>
      </w:r>
    </w:p>
    <w:p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</w:p>
    <w:p>
      <w:pPr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Порядок оплаты диспансеризации </w:t>
      </w:r>
    </w:p>
    <w:p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населения.</w:t>
      </w:r>
    </w:p>
    <w:p>
      <w:pPr>
        <w:ind w:firstLine="567"/>
        <w:jc w:val="center"/>
        <w:rPr>
          <w:b/>
          <w:sz w:val="24"/>
          <w:szCs w:val="24"/>
        </w:rPr>
      </w:pP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 Финансовое обеспечение медицинских организаций, участвующих в проведении диспансеризации определенных гру</w:t>
      </w:r>
      <w:proofErr w:type="gramStart"/>
      <w:r>
        <w:rPr>
          <w:sz w:val="24"/>
          <w:szCs w:val="24"/>
        </w:rPr>
        <w:t>пп взр</w:t>
      </w:r>
      <w:proofErr w:type="gramEnd"/>
      <w:r>
        <w:rPr>
          <w:sz w:val="24"/>
          <w:szCs w:val="24"/>
        </w:rPr>
        <w:t xml:space="preserve">ослого населения, осуществляется  за счет средств, предусмотренных Территориальной программой обязательного медицинского страхования, утвержденной постановлением Правительства Магаданской области от 31.12.2015г. № 931-пп «О Территориальной программе государственных гарантий бесплатного оказания гражданам медицинской помощи на территории Магаданской области на 2016 год».  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proofErr w:type="gramStart"/>
      <w:r>
        <w:rPr>
          <w:sz w:val="24"/>
          <w:szCs w:val="24"/>
        </w:rPr>
        <w:t xml:space="preserve">Диспансеризация </w:t>
      </w:r>
      <w:r>
        <w:rPr>
          <w:bCs/>
          <w:sz w:val="24"/>
          <w:szCs w:val="24"/>
        </w:rPr>
        <w:t>определенных групп взрослого населения</w:t>
      </w:r>
      <w:r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Министерства здравоохранения и демографической политики  Магаданской области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03.02.2015 г. № 36ан «Об утверждении порядка проведения диспансеризации определенных групп взрослого населения» (далее - Приказ Минздрава России № 36ан).</w:t>
      </w:r>
      <w:proofErr w:type="gramEnd"/>
    </w:p>
    <w:p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>
        <w:rPr>
          <w:bCs/>
          <w:sz w:val="24"/>
          <w:szCs w:val="24"/>
        </w:rPr>
        <w:t>определенных групп взрослого населения</w:t>
      </w:r>
      <w:r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или выполнения диагностического исследования с медицинской организацией, имеющей лицензию на</w:t>
      </w:r>
      <w:proofErr w:type="gramEnd"/>
      <w:r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При заключении договоров с медицинскими организациями рекомендуется применять тарифы на проведение диспансеризации определенных гру</w:t>
      </w:r>
      <w:proofErr w:type="gramStart"/>
      <w:r>
        <w:rPr>
          <w:sz w:val="24"/>
          <w:szCs w:val="24"/>
        </w:rPr>
        <w:t>пп взр</w:t>
      </w:r>
      <w:proofErr w:type="gramEnd"/>
      <w:r>
        <w:rPr>
          <w:sz w:val="24"/>
          <w:szCs w:val="24"/>
        </w:rPr>
        <w:t xml:space="preserve">ослого населения, утвержденные Приложением № 1 к настоящему Порядку. </w:t>
      </w:r>
    </w:p>
    <w:p>
      <w:pPr>
        <w:spacing w:line="360" w:lineRule="auto"/>
        <w:ind w:firstLine="567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gramStart"/>
      <w:r>
        <w:rPr>
          <w:sz w:val="24"/>
          <w:szCs w:val="24"/>
        </w:rPr>
        <w:t>Первый этап диспансеризации считается завершенным и подлежит оплате в рамках территориальной программы государственных гарантий бесплатного оказание гражданам медицинской помощи в случае выполнения не менее 85% от объема диспансеризации, установленного для данного возраста и пола гражданина, при этом обязательным является проведение анкетирования и приема (осмотра) врача-терапевта.</w:t>
      </w:r>
      <w:proofErr w:type="gramEnd"/>
    </w:p>
    <w:p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>
        <w:rPr>
          <w:b w:val="0"/>
          <w:i w:val="0"/>
          <w:sz w:val="24"/>
          <w:szCs w:val="24"/>
        </w:rPr>
        <w:lastRenderedPageBreak/>
        <w:t>В случае если число осмотров, исследований и иных медицинских мероприятий, выполненных ранее и учитываемых при диспансеризации составляет менее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14 Порядка проведения диспансеризации определенных групп взрослого населения, утвержденного приказом Минздрава России № 36ан  осмотров, исследований и иных медицинских</w:t>
      </w:r>
      <w:proofErr w:type="gramEnd"/>
      <w:r>
        <w:rPr>
          <w:b w:val="0"/>
          <w:i w:val="0"/>
          <w:sz w:val="24"/>
          <w:szCs w:val="24"/>
        </w:rPr>
        <w:t xml:space="preserve"> мероприятий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оплата осуществляется по законченному случаю по тарифам, утвержденным Приложением № 2 к настоящему Порядку.</w:t>
      </w:r>
    </w:p>
    <w:p>
      <w:pPr>
        <w:pStyle w:val="a9"/>
        <w:spacing w:line="360" w:lineRule="auto"/>
        <w:ind w:left="0" w:right="-1" w:firstLine="567"/>
        <w:jc w:val="both"/>
        <w:rPr>
          <w:b w:val="0"/>
          <w:i w:val="0"/>
          <w:sz w:val="24"/>
          <w:szCs w:val="24"/>
        </w:rPr>
      </w:pPr>
      <w:proofErr w:type="gramStart"/>
      <w:r>
        <w:rPr>
          <w:b w:val="0"/>
          <w:i w:val="0"/>
          <w:sz w:val="24"/>
          <w:szCs w:val="24"/>
        </w:rPr>
        <w:t>В случае если число осмотров, исследований и иных медицинских мероприятий, выполненных ранее и учитываемых при диспансеризации превышает 15% от объема диспансеризации, установленного для соответствующего возраста и пола гражданина, а общий объем выполненных в рамках диспансеризации и учтенных в соответствии с пунктом 14 Порядка проведения диспансеризации определенных групп взрослого населения, утвержденного приказом Минздрава России № 36ан осмотров, исследований и иных медицинских мероприятий</w:t>
      </w:r>
      <w:proofErr w:type="gramEnd"/>
      <w:r>
        <w:rPr>
          <w:b w:val="0"/>
          <w:i w:val="0"/>
          <w:sz w:val="24"/>
          <w:szCs w:val="24"/>
        </w:rPr>
        <w:t xml:space="preserve"> составляет 85% и более от объема диспансеризации, первый этап диспансеризации отражается в отчете о проведении диспансеризации как завершенный случай, при этом </w:t>
      </w:r>
      <w:r>
        <w:rPr>
          <w:b w:val="0"/>
          <w:i w:val="0"/>
          <w:sz w:val="24"/>
          <w:szCs w:val="24"/>
          <w:u w:val="single"/>
        </w:rPr>
        <w:t>оплате подлежат только выполненные осмотры</w:t>
      </w:r>
      <w:r>
        <w:rPr>
          <w:b w:val="0"/>
          <w:i w:val="0"/>
          <w:sz w:val="24"/>
          <w:szCs w:val="24"/>
        </w:rPr>
        <w:t xml:space="preserve"> (исследования, мероприятия) по тарифам на оплату медицинских услуг, установленных в Приложении № 1 настоящего Порядка.</w:t>
      </w:r>
    </w:p>
    <w:p>
      <w:pPr>
        <w:pStyle w:val="a9"/>
        <w:spacing w:line="360" w:lineRule="auto"/>
        <w:ind w:left="0" w:right="-1" w:firstLine="567"/>
        <w:jc w:val="both"/>
        <w:rPr>
          <w:i w:val="0"/>
          <w:sz w:val="24"/>
          <w:szCs w:val="24"/>
        </w:rPr>
      </w:pPr>
      <w:proofErr w:type="gramStart"/>
      <w:r>
        <w:rPr>
          <w:b w:val="0"/>
          <w:i w:val="0"/>
          <w:sz w:val="24"/>
          <w:szCs w:val="24"/>
        </w:rPr>
        <w:t>В случае выполнения в рамках первого этапа диспансеризации менее 85% от объема диспансеризации, установленного для данного возраста и пола гражданина, но при этом выполненные осмотры, исследования и иные медицинские мероприятия составляют 85% и более от объема обследования, установленного для профилактического медицинского осмотра взрослого населения, такие случаи учитываются как проведенный гражданину профилактический медицинский осмотр.</w:t>
      </w:r>
      <w:r>
        <w:rPr>
          <w:i w:val="0"/>
          <w:sz w:val="24"/>
          <w:szCs w:val="24"/>
        </w:rPr>
        <w:t xml:space="preserve"> </w:t>
      </w:r>
      <w:proofErr w:type="gramEnd"/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Второй этап диспансеризации считается законченным в случае выполнения осмотров, исследований и иных медицинских мероприятий, указанных в пункте 13.2 Порядка проведения диспансеризации определенных групп взрослого населения, утвержденного приказом Минздрава России № 36ан, необходимость </w:t>
      </w:r>
      <w:proofErr w:type="gramStart"/>
      <w:r>
        <w:rPr>
          <w:sz w:val="24"/>
          <w:szCs w:val="24"/>
        </w:rPr>
        <w:t>проведения</w:t>
      </w:r>
      <w:proofErr w:type="gramEnd"/>
      <w:r>
        <w:rPr>
          <w:sz w:val="24"/>
          <w:szCs w:val="24"/>
        </w:rPr>
        <w:t xml:space="preserve"> которых определена по результатам первого и второго этапов диспансеризации.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Оплата второго этапа диспансеризации определенных гру</w:t>
      </w:r>
      <w:proofErr w:type="gramStart"/>
      <w:r>
        <w:rPr>
          <w:sz w:val="24"/>
          <w:szCs w:val="24"/>
        </w:rPr>
        <w:t>пп взр</w:t>
      </w:r>
      <w:proofErr w:type="gramEnd"/>
      <w:r>
        <w:rPr>
          <w:sz w:val="24"/>
          <w:szCs w:val="24"/>
        </w:rPr>
        <w:t>ослого населения осуществляется по отдельным тарифам, утвержденным Приложением № 3 к настоящему Порядку, за каждый прием врача-специалиста и каждое лабораторное и функциональное исследование второго этапа диспансеризации отдельно.</w:t>
      </w:r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 </w:t>
      </w:r>
      <w:proofErr w:type="gramStart"/>
      <w:r>
        <w:rPr>
          <w:sz w:val="24"/>
          <w:szCs w:val="24"/>
        </w:rPr>
        <w:t xml:space="preserve">Медицинские организации формируют отдельные реестры счетов в формате </w:t>
      </w:r>
      <w:proofErr w:type="spellStart"/>
      <w:r>
        <w:rPr>
          <w:bCs/>
          <w:sz w:val="28"/>
          <w:szCs w:val="28"/>
          <w:lang w:val="en-US"/>
        </w:rPr>
        <w:t>Exel</w:t>
      </w:r>
      <w:proofErr w:type="spellEnd"/>
      <w:r>
        <w:rPr>
          <w:sz w:val="24"/>
          <w:szCs w:val="24"/>
        </w:rPr>
        <w:t xml:space="preserve"> отдельно по первому этапу диспансеризации, согласно Приложению № 4 к настоящему Порядку и по второму этапу диспансеризации, согласно Приложению № 5 к настоящему Порядку  и счет на оплату расходов по проведению диспансеризации </w:t>
      </w:r>
      <w:r>
        <w:rPr>
          <w:bCs/>
          <w:sz w:val="24"/>
          <w:szCs w:val="24"/>
        </w:rPr>
        <w:t xml:space="preserve">определенных групп взрослого населения, отдельно по первому этапу диспансеризации и по второму этапу диспансеризации согласно Приложению № 6 к настоящему Порядку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представляют их в страховую медицинскую организацию, в которой застрахованы </w:t>
      </w:r>
      <w:r>
        <w:rPr>
          <w:bCs/>
          <w:sz w:val="24"/>
          <w:szCs w:val="24"/>
        </w:rPr>
        <w:t>граждане</w:t>
      </w:r>
      <w:r>
        <w:rPr>
          <w:sz w:val="24"/>
          <w:szCs w:val="24"/>
        </w:rPr>
        <w:t>, прошедшие 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>
      <w:pPr>
        <w:spacing w:line="36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proofErr w:type="gramStart"/>
      <w:r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proofErr w:type="gramStart"/>
      <w:r>
        <w:rPr>
          <w:sz w:val="24"/>
          <w:szCs w:val="24"/>
        </w:rPr>
        <w:t>Страховые медицинские организации в срок до 15 числа месяца, следующего за отчетным предоставляют в ТФОМС Магаданской области сведения о принятых к оплате реестрах счетов за проведенную диспансеризации взрослого населения, по форме в соответствии с Приложением 7 к настоящему Порядку.</w:t>
      </w:r>
      <w:proofErr w:type="gramEnd"/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10"/>
        <w:gridCol w:w="7943"/>
        <w:gridCol w:w="1540"/>
        <w:gridCol w:w="120"/>
      </w:tblGrid>
      <w:tr>
        <w:trPr>
          <w:trHeight w:val="420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№ 1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  <w:tr>
        <w:trPr>
          <w:trHeight w:val="1345"/>
        </w:trPr>
        <w:tc>
          <w:tcPr>
            <w:tcW w:w="961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Тарифы на оплату медицинской помощи 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(осмотр, исследование, мероприятие)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 рамках проведения диспансеризации определенных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гру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 xml:space="preserve">ослого населения </w:t>
            </w: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>
        <w:trPr>
          <w:gridBefore w:val="1"/>
          <w:gridAfter w:val="1"/>
          <w:wBefore w:w="10" w:type="dxa"/>
          <w:wAfter w:w="120" w:type="dxa"/>
          <w:trHeight w:val="930"/>
          <w:tblHeader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Осмотр (исследование, манипуляция)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Цена за одну услугу (рублей)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40"/>
          <w:tblHeader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Опрос (анкетирование) на выявление хронических неинфекционных заболеваний, факторов риска их развития, потребления наркотических средств и психотропных веществ без назначения врача*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Антропометрия (измерение </w:t>
            </w:r>
            <w:proofErr w:type="gramStart"/>
            <w:r>
              <w:rPr>
                <w:color w:val="000000"/>
                <w:sz w:val="24"/>
                <w:szCs w:val="24"/>
              </w:rPr>
              <w:t>роста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стоя, массы тела, окружности талии), расчет индекса массы тела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57,11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1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Измерение артериального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31,15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7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Определение уровня общего холестерина в крови (допускается экспресс-метод),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199,07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забор крови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160,59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определение уровня общего холестерина в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38,48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29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Определение уровня глюкозы в крови </w:t>
            </w:r>
            <w:proofErr w:type="gramStart"/>
            <w:r>
              <w:rPr>
                <w:color w:val="000000"/>
                <w:sz w:val="24"/>
                <w:szCs w:val="24"/>
              </w:rPr>
              <w:t>экспресс-методом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(допускается лабораторный метод)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44,76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5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забор крови (учтен в пункте 4)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определение уровня глюкозы в крови </w:t>
            </w:r>
            <w:proofErr w:type="gramStart"/>
            <w:r>
              <w:rPr>
                <w:i/>
                <w:color w:val="000000"/>
                <w:sz w:val="24"/>
                <w:szCs w:val="24"/>
              </w:rPr>
              <w:t>экспресс-методом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44,76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2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6. Определение относительного суммарного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риска/ Определение абсолютного суммарного сердечно-сосудистого риска у граждан, не имеющих заболеваний, связанных с атеросклерозом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7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7. Электрокардиография (в покое)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487,48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112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 Осмотр фельдшером (акушеркой), включая взятие мазка (соскоба) с поверхности шейки матки (наружного маточного зева) и цервикального канала на цитологическое исследование (для женщин),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396,69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8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 взятие мазка (соскоба) с поверхности шейки матки (наружного маточного зева) и цервикального канала на цитологическое исследование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171,10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1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цитологическое исследование полученного материала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225,59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 Флюорография легких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390,58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6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 Маммография обеих молочных желез (для женщин)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913,02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982"/>
        </w:trPr>
        <w:tc>
          <w:tcPr>
            <w:tcW w:w="7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 Клинический анализ крови (в объеме не менее определения концентрации гемоглобина в эритроцитах, количества лейкоцитов и скорости оседания эритроцитов), в том числе: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254,84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0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12. Клинический анализ крови развернутый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772,57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90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13. Анализ крови биохимический общетерапевтический (в объеме не менее определения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креатинина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общего билирубина, </w:t>
            </w:r>
            <w:proofErr w:type="spellStart"/>
            <w:r>
              <w:rPr>
                <w:color w:val="000000"/>
                <w:sz w:val="24"/>
                <w:szCs w:val="24"/>
              </w:rPr>
              <w:t>аспартат-аминотрансаминазы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аланин-аминотрансаминазы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глюкозы, холестерина</w:t>
            </w:r>
            <w:r>
              <w:rPr>
                <w:color w:val="000000"/>
                <w:sz w:val="24"/>
                <w:szCs w:val="24"/>
              </w:rPr>
              <w:t>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478,61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забор крови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160,59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определение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креатинина</w:t>
            </w:r>
            <w:proofErr w:type="spell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58,98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определение  общего билирубина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81,58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–  АЛТ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47,11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–  АСТ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47,11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определение  глюкозы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44,76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– определение уровня холестерина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38,48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 Общий анализ мочи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116,87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706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15. Исследование кала на скрытую кровь иммунохимическим методом (допускается проведение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бензидиновой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гваяковой пробы)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93,61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 Ультразвуковое исследование,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поджелудочной железы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510,42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-почек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510,42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-матки + яичники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632,97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 простаты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510,42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-брюшной аорты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755,55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51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17. Измерение внутриглазного давления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346,62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99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 Прием (осмотр) врача-терапевта, включающий установление диагноза, определение группы состояния здоровья, группы диспансерного наблюдения, проведение краткого профилактического консультирования, включая рекомендации по здоровому питанию, уровню физической активности, отказу от курения табака и пагубного потребления алкоголя, определение медицинских показаний для обследований и консультаций в рамках второго этапа диспансеризации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693,08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10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19.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1013,57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20. </w:t>
            </w:r>
            <w:proofErr w:type="spellStart"/>
            <w:r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1846,40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06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21. </w:t>
            </w:r>
            <w:proofErr w:type="gramStart"/>
            <w:r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604,88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1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639,30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39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23. </w:t>
            </w:r>
            <w:proofErr w:type="gramStart"/>
            <w:r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462,17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8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24. </w:t>
            </w:r>
            <w:proofErr w:type="spellStart"/>
            <w:r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3165,47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26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21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160,59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18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5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96,94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30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524,89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8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28. Определение концентрации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крови), в том числе: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478,27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36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160,59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03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 – определение концентрации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гликированного</w:t>
            </w:r>
            <w:proofErr w:type="spellEnd"/>
            <w:r>
              <w:rPr>
                <w:i/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317,68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94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 Осмотр (консультация) врачом-</w:t>
            </w:r>
            <w:proofErr w:type="spellStart"/>
            <w:r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464,05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9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C00000"/>
                <w:sz w:val="24"/>
                <w:szCs w:val="24"/>
              </w:rPr>
              <w:t xml:space="preserve">. Анализ крови на уровень содержания </w:t>
            </w:r>
            <w:proofErr w:type="spellStart"/>
            <w:r>
              <w:rPr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>
              <w:rPr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 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518,22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427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C00000"/>
                <w:sz w:val="24"/>
                <w:szCs w:val="24"/>
              </w:rPr>
            </w:pPr>
            <w:r>
              <w:rPr>
                <w:i/>
                <w:color w:val="C00000"/>
                <w:sz w:val="24"/>
                <w:szCs w:val="24"/>
              </w:rPr>
              <w:t xml:space="preserve"> – забор крови (по необходимости)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160,59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rPr>
                <w:i/>
                <w:color w:val="C00000"/>
                <w:sz w:val="24"/>
                <w:szCs w:val="24"/>
              </w:rPr>
            </w:pPr>
            <w:r>
              <w:rPr>
                <w:i/>
                <w:color w:val="C00000"/>
                <w:sz w:val="24"/>
                <w:szCs w:val="24"/>
              </w:rPr>
              <w:t xml:space="preserve">- анализ крови на уровень содержания </w:t>
            </w:r>
            <w:proofErr w:type="spellStart"/>
            <w:r>
              <w:rPr>
                <w:i/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>
              <w:rPr>
                <w:i/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357,63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1415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487,36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400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32.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501,62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2344"/>
        </w:trPr>
        <w:tc>
          <w:tcPr>
            <w:tcW w:w="79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33. </w:t>
            </w:r>
            <w:proofErr w:type="gramStart"/>
            <w:r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693,08</w:t>
            </w:r>
          </w:p>
        </w:tc>
      </w:tr>
      <w:tr>
        <w:trPr>
          <w:gridBefore w:val="1"/>
          <w:gridAfter w:val="1"/>
          <w:wBefore w:w="10" w:type="dxa"/>
          <w:wAfter w:w="120" w:type="dxa"/>
          <w:trHeight w:val="70"/>
        </w:trPr>
        <w:tc>
          <w:tcPr>
            <w:tcW w:w="9483" w:type="dxa"/>
            <w:gridSpan w:val="2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* расходы на проведение исследования (манипуляции) учтены в тарифе врача-терапевта</w:t>
            </w: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  <w:p>
            <w:pPr>
              <w:rPr>
                <w:color w:val="000000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474"/>
        <w:jc w:val="both"/>
        <w:rPr>
          <w:sz w:val="24"/>
          <w:szCs w:val="24"/>
        </w:rPr>
      </w:pPr>
    </w:p>
    <w:tbl>
      <w:tblPr>
        <w:tblW w:w="9613" w:type="dxa"/>
        <w:tblInd w:w="93" w:type="dxa"/>
        <w:tblLook w:val="04A0" w:firstRow="1" w:lastRow="0" w:firstColumn="1" w:lastColumn="0" w:noHBand="0" w:noVBand="1"/>
      </w:tblPr>
      <w:tblGrid>
        <w:gridCol w:w="9613"/>
      </w:tblGrid>
      <w:tr>
        <w:trPr>
          <w:trHeight w:val="420"/>
        </w:trPr>
        <w:tc>
          <w:tcPr>
            <w:tcW w:w="9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>
            <w:pPr>
              <w:jc w:val="right"/>
              <w:rPr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Приложение  2 к Порядку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оплаты диспансеризации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определенных групп </w:t>
            </w:r>
          </w:p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взрослого населения</w:t>
            </w:r>
          </w:p>
        </w:tc>
      </w:tr>
    </w:tbl>
    <w:p>
      <w:pPr>
        <w:tabs>
          <w:tab w:val="left" w:pos="7392"/>
        </w:tabs>
        <w:spacing w:line="240" w:lineRule="atLeast"/>
      </w:pPr>
    </w:p>
    <w:p>
      <w:pPr>
        <w:tabs>
          <w:tab w:val="left" w:pos="7392"/>
        </w:tabs>
        <w:spacing w:line="240" w:lineRule="atLeast"/>
        <w:jc w:val="right"/>
      </w:pPr>
    </w:p>
    <w:p>
      <w:pPr>
        <w:jc w:val="center"/>
        <w:rPr>
          <w:b/>
        </w:rPr>
      </w:pPr>
      <w:r>
        <w:rPr>
          <w:b/>
        </w:rPr>
        <w:t>ТАРИФЫ</w:t>
      </w:r>
    </w:p>
    <w:p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2016 год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3220"/>
        <w:gridCol w:w="3220"/>
        <w:gridCol w:w="2900"/>
      </w:tblGrid>
      <w:tr>
        <w:trPr>
          <w:trHeight w:val="108"/>
        </w:trPr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color w:val="000000"/>
                <w:sz w:val="24"/>
                <w:szCs w:val="24"/>
              </w:rPr>
            </w:pPr>
          </w:p>
        </w:tc>
      </w:tr>
      <w:tr>
        <w:trPr>
          <w:trHeight w:val="780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</w:tbl>
    <w:p>
      <w:pPr>
        <w:rPr>
          <w:sz w:val="24"/>
          <w:szCs w:val="24"/>
        </w:rPr>
      </w:pPr>
    </w:p>
    <w:tbl>
      <w:tblPr>
        <w:tblW w:w="9680" w:type="dxa"/>
        <w:tblInd w:w="103" w:type="dxa"/>
        <w:tblLook w:val="04A0" w:firstRow="1" w:lastRow="0" w:firstColumn="1" w:lastColumn="0" w:noHBand="0" w:noVBand="1"/>
      </w:tblPr>
      <w:tblGrid>
        <w:gridCol w:w="3220"/>
        <w:gridCol w:w="3187"/>
        <w:gridCol w:w="3273"/>
      </w:tblGrid>
      <w:tr>
        <w:trPr>
          <w:trHeight w:val="315"/>
        </w:trPr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>
        <w:trPr>
          <w:trHeight w:val="315"/>
        </w:trPr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2 591,20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5 684,50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3 107,30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3 949,00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5 684,50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6 111,90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6 111,90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6 111,90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5 684,50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3 405,90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3 949,00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4 889,30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5 684,50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2 977,60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2 888,40</w:t>
            </w:r>
          </w:p>
        </w:tc>
      </w:tr>
      <w:tr>
        <w:trPr>
          <w:trHeight w:val="36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4 465,10</w:t>
            </w:r>
          </w:p>
        </w:tc>
        <w:tc>
          <w:tcPr>
            <w:tcW w:w="3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4 488,80</w:t>
            </w:r>
          </w:p>
        </w:tc>
      </w:tr>
    </w:tbl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tbl>
      <w:tblPr>
        <w:tblW w:w="9795" w:type="dxa"/>
        <w:tblInd w:w="93" w:type="dxa"/>
        <w:tblLook w:val="04A0" w:firstRow="1" w:lastRow="0" w:firstColumn="1" w:lastColumn="0" w:noHBand="0" w:noVBand="1"/>
      </w:tblPr>
      <w:tblGrid>
        <w:gridCol w:w="10"/>
        <w:gridCol w:w="7660"/>
        <w:gridCol w:w="1984"/>
        <w:gridCol w:w="141"/>
      </w:tblGrid>
      <w:tr>
        <w:trPr>
          <w:gridAfter w:val="1"/>
          <w:wAfter w:w="141" w:type="dxa"/>
          <w:trHeight w:val="67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Приложение 3 к Порядку</w:t>
            </w:r>
          </w:p>
          <w:p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>
              <w:rPr>
                <w:bCs/>
                <w:color w:val="000000"/>
              </w:rPr>
              <w:t>определенных</w:t>
            </w:r>
            <w:proofErr w:type="gramEnd"/>
          </w:p>
          <w:p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гру</w:t>
            </w:r>
            <w:proofErr w:type="gramStart"/>
            <w:r>
              <w:rPr>
                <w:bCs/>
                <w:color w:val="000000"/>
              </w:rPr>
              <w:t>пп взр</w:t>
            </w:r>
            <w:proofErr w:type="gramEnd"/>
            <w:r>
              <w:rPr>
                <w:bCs/>
                <w:color w:val="000000"/>
              </w:rPr>
              <w:t>ослого населения</w:t>
            </w:r>
          </w:p>
          <w:p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>
        <w:trPr>
          <w:gridBefore w:val="1"/>
          <w:wBefore w:w="10" w:type="dxa"/>
          <w:trHeight w:val="7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>
        <w:trPr>
          <w:gridBefore w:val="1"/>
          <w:wBefore w:w="10" w:type="dxa"/>
          <w:trHeight w:val="23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Дуплексное сканирование брахицефальных артерий (в случае наличия указания или подозрения на ранее перенесенное острое нарушение мозгового кровообращения по результатам анкетирования, а также для мужчин в возрасте 45 лет и старше и женщин в возрасте старше 55 лет при наличии комбинации трех факторов риска развития хронических неинфекционных заболеваний: повышенный уровень артериального давления, </w:t>
            </w:r>
            <w:proofErr w:type="spellStart"/>
            <w:r>
              <w:rPr>
                <w:color w:val="000000"/>
                <w:sz w:val="24"/>
                <w:szCs w:val="24"/>
              </w:rPr>
              <w:t>дислипидемия</w:t>
            </w:r>
            <w:proofErr w:type="spellEnd"/>
            <w:r>
              <w:rPr>
                <w:color w:val="000000"/>
                <w:sz w:val="24"/>
                <w:szCs w:val="24"/>
              </w:rPr>
              <w:t>, избыточная масса тела или ожирение)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1013,57</w:t>
            </w:r>
          </w:p>
        </w:tc>
      </w:tr>
      <w:tr>
        <w:trPr>
          <w:gridBefore w:val="1"/>
          <w:wBefore w:w="10" w:type="dxa"/>
          <w:trHeight w:val="179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color w:val="000000"/>
                <w:sz w:val="24"/>
                <w:szCs w:val="24"/>
              </w:rPr>
              <w:t>Эзофагогастродуоденоскопия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(при выявлении по результатам анкетирования жалоб, свидетельствующих о возможном онкологическом заболевании верхних отделов желудочно-кишечного тракта или для граждан в возрасте старше 50 лет при отягощенной наследственности по онкологическим заболеваниям органов желудочно-кишечного тракта)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1846,40</w:t>
            </w:r>
          </w:p>
        </w:tc>
      </w:tr>
      <w:tr>
        <w:trPr>
          <w:gridBefore w:val="1"/>
          <w:wBefore w:w="10" w:type="dxa"/>
          <w:trHeight w:val="1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 </w:t>
            </w:r>
            <w:proofErr w:type="gramStart"/>
            <w:r>
              <w:rPr>
                <w:color w:val="000000"/>
                <w:sz w:val="24"/>
                <w:szCs w:val="24"/>
              </w:rPr>
              <w:t>Осмотр (консультация) врачом-неврологом (в случае указания или подозрения на ранее перенесенное острое нарушение мозгового кровообращения по результатам анкетирования у граждан, не находящихся под диспансерным наблюдением по данному поводу, а также в случаях первичного выявления нарушений двигательной функции, когнитивных нарушений и подозрения на депрессию у граждан в возрасте 75 лет и старше)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604,88</w:t>
            </w:r>
          </w:p>
        </w:tc>
      </w:tr>
      <w:tr>
        <w:trPr>
          <w:gridBefore w:val="1"/>
          <w:wBefore w:w="10" w:type="dxa"/>
          <w:trHeight w:val="2134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 Осмотр (консультация) врачом-хирургом или врачом-урологом (для мужчин при впервые выявленных по результатам анкетирования признаках патологии мочеполовой системы или при отягощенной наследственности по онкологическим заболеваниям предстательной железы, а также для мужчин вне зависимости от возраста в случае подозрения на онкологическое заболевание предстательной железы по результатам ультразвукового исследования)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639,30</w:t>
            </w:r>
          </w:p>
        </w:tc>
      </w:tr>
      <w:tr>
        <w:trPr>
          <w:gridBefore w:val="1"/>
          <w:wBefore w:w="10" w:type="dxa"/>
          <w:trHeight w:val="267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 </w:t>
            </w:r>
            <w:proofErr w:type="gramStart"/>
            <w:r>
              <w:rPr>
                <w:color w:val="000000"/>
                <w:sz w:val="24"/>
                <w:szCs w:val="24"/>
              </w:rPr>
              <w:t>Осмотр (консультация) врачом-хирургом или врачом-</w:t>
            </w:r>
            <w:proofErr w:type="spellStart"/>
            <w:r>
              <w:rPr>
                <w:color w:val="000000"/>
                <w:sz w:val="24"/>
                <w:szCs w:val="24"/>
              </w:rPr>
              <w:t>колопроктологом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(для граждан при положительном анализе кала на скрытую кровь, для граждан в возрасте 45 лет и старше при отягощенной наследственности по семейному </w:t>
            </w:r>
            <w:proofErr w:type="spellStart"/>
            <w:r>
              <w:rPr>
                <w:color w:val="000000"/>
                <w:sz w:val="24"/>
                <w:szCs w:val="24"/>
              </w:rPr>
              <w:t>полипозу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онкологическим заболеваниям </w:t>
            </w:r>
            <w:proofErr w:type="spellStart"/>
            <w:r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области, при выявлении других медицинских показаний по результатам анкетирования, а также по назначению врача-терапевта, врача-уролога, врача-акушера-гинеколога в случаях выявления симптомов онкологических заболеваний </w:t>
            </w:r>
            <w:proofErr w:type="spellStart"/>
            <w:r>
              <w:rPr>
                <w:color w:val="000000"/>
                <w:sz w:val="24"/>
                <w:szCs w:val="24"/>
              </w:rPr>
              <w:t>колоректальной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области)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462,17</w:t>
            </w:r>
          </w:p>
        </w:tc>
      </w:tr>
      <w:tr>
        <w:trPr>
          <w:gridBefore w:val="1"/>
          <w:wBefore w:w="10" w:type="dxa"/>
          <w:trHeight w:val="98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6. </w:t>
            </w:r>
            <w:proofErr w:type="spellStart"/>
            <w:r>
              <w:rPr>
                <w:color w:val="000000"/>
                <w:sz w:val="24"/>
                <w:szCs w:val="24"/>
              </w:rPr>
              <w:t>Колоноскопия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color w:val="000000"/>
                <w:sz w:val="24"/>
                <w:szCs w:val="24"/>
              </w:rPr>
              <w:t>ректороманоскопия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(в случае подозрения на онкологическое заболевание толстой кишки по назначению врача-хирурга или врача-</w:t>
            </w:r>
            <w:proofErr w:type="spellStart"/>
            <w:r>
              <w:rPr>
                <w:color w:val="000000"/>
                <w:sz w:val="24"/>
                <w:szCs w:val="24"/>
              </w:rPr>
              <w:t>колопроктолога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3165,47</w:t>
            </w:r>
          </w:p>
        </w:tc>
      </w:tr>
      <w:tr>
        <w:trPr>
          <w:gridBefore w:val="1"/>
          <w:wBefore w:w="10" w:type="dxa"/>
          <w:trHeight w:val="140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7. Определение липидного спектра крови (уровень общего холестерина, холестерина липопротеидов высокой плотности, холестерина липопротеидов низкой плотности, триглицеридов) (для граждан с выявленным повышением уровня общего холестерина в крови)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530,75</w:t>
            </w:r>
          </w:p>
        </w:tc>
      </w:tr>
      <w:tr>
        <w:trPr>
          <w:gridBefore w:val="1"/>
          <w:wBefore w:w="10" w:type="dxa"/>
          <w:trHeight w:val="1116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 Спирометрия (для граждан с подозрением на хроническое бронхо-легочное заболевание по результатам анкетирования, курящих и по направлению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96,94</w:t>
            </w:r>
          </w:p>
        </w:tc>
      </w:tr>
      <w:tr>
        <w:trPr>
          <w:gridBefore w:val="1"/>
          <w:wBefore w:w="10" w:type="dxa"/>
          <w:trHeight w:val="1415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 Осмотр (консультация) врачом-акушером-гинекологом (для женщин с выявленными патологическими изменениями по результатам цитологического исследования мазка с шейки матки и (или) маммографии, УЗИ матки и яичников)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524,89</w:t>
            </w:r>
          </w:p>
        </w:tc>
      </w:tr>
      <w:tr>
        <w:trPr>
          <w:gridBefore w:val="1"/>
          <w:wBefore w:w="10" w:type="dxa"/>
          <w:trHeight w:val="980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10. Определение концентрации </w:t>
            </w:r>
            <w:proofErr w:type="spellStart"/>
            <w:r>
              <w:rPr>
                <w:color w:val="000000"/>
                <w:sz w:val="24"/>
                <w:szCs w:val="24"/>
              </w:rPr>
              <w:t>гликированного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гемоглобина в крови или тест на толерантность к глюкозе (для граждан с выявленным повышением уровня глюкозы в крови)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478,27</w:t>
            </w:r>
          </w:p>
        </w:tc>
      </w:tr>
      <w:tr>
        <w:trPr>
          <w:gridBefore w:val="1"/>
          <w:wBefore w:w="10" w:type="dxa"/>
          <w:trHeight w:val="971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 Осмотр (консультация) врачом-</w:t>
            </w:r>
            <w:proofErr w:type="spellStart"/>
            <w:r>
              <w:rPr>
                <w:color w:val="000000"/>
                <w:sz w:val="24"/>
                <w:szCs w:val="24"/>
              </w:rPr>
              <w:t>оториноларингологом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(при наличии медицинских показаний по результатам анкетирования или осмотра врача-терапевта)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464,05</w:t>
            </w:r>
          </w:p>
        </w:tc>
      </w:tr>
      <w:tr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12.</w:t>
            </w:r>
            <w:r>
              <w:rPr>
                <w:color w:val="C00000"/>
              </w:rPr>
              <w:t xml:space="preserve"> </w:t>
            </w:r>
            <w:r>
              <w:rPr>
                <w:color w:val="C00000"/>
                <w:sz w:val="24"/>
                <w:szCs w:val="24"/>
              </w:rPr>
              <w:t xml:space="preserve">Анализ крови на уровень содержания </w:t>
            </w:r>
            <w:proofErr w:type="spellStart"/>
            <w:r>
              <w:rPr>
                <w:color w:val="C00000"/>
                <w:sz w:val="24"/>
                <w:szCs w:val="24"/>
              </w:rPr>
              <w:t>простатспецифического</w:t>
            </w:r>
            <w:proofErr w:type="spellEnd"/>
            <w:r>
              <w:rPr>
                <w:color w:val="C00000"/>
                <w:sz w:val="24"/>
                <w:szCs w:val="24"/>
              </w:rPr>
              <w:t xml:space="preserve"> антигена (по назначению врача-хирурга или врача-уролога мужчинам с подозрением на онкологическое заболевание предстательной железы по результатам опроса, осмотра, пальцевого исследования или УЗИ предстательной железы)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>
            <w:pPr>
              <w:jc w:val="right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>518,22</w:t>
            </w:r>
          </w:p>
        </w:tc>
      </w:tr>
      <w:tr>
        <w:trPr>
          <w:gridBefore w:val="1"/>
          <w:wBefore w:w="10" w:type="dxa"/>
          <w:trHeight w:val="1719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 Осмотр (консультация) врачом-офтальмологом (для граждан в возрасте 39 лет и старше, имеющих повышенное внутриглазное давление, и для граждан в возрасте 75 лет и старше, имеющих снижение остроты зрения, не поддающееся очковой коррекции, выявленное по результатам анкетирования)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487,36</w:t>
            </w:r>
          </w:p>
        </w:tc>
      </w:tr>
      <w:tr>
        <w:trPr>
          <w:gridBefore w:val="1"/>
          <w:wBefore w:w="10" w:type="dxa"/>
          <w:trHeight w:val="2372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14. Индивидуальное углубленное профилактическое консультирование или групповое профилактическое консультирование (школа пациента) в отделении (кабинете) медицинской профилактики (центре здоровья, фельдшерском здравпункте или фельдшерско-акушерском пункте) (для граждан с выявленными факторами риска развития хронических неинфекционных заболеваний, имеющих указанные заболевания или имеющих высокий и очень высокий абсолютный суммарный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риск)</w:t>
            </w:r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501,62</w:t>
            </w:r>
          </w:p>
        </w:tc>
      </w:tr>
      <w:tr>
        <w:trPr>
          <w:gridBefore w:val="1"/>
          <w:wBefore w:w="10" w:type="dxa"/>
          <w:trHeight w:val="2477"/>
        </w:trPr>
        <w:tc>
          <w:tcPr>
            <w:tcW w:w="7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15. </w:t>
            </w:r>
            <w:proofErr w:type="gramStart"/>
            <w:r>
              <w:rPr>
                <w:color w:val="000000"/>
                <w:sz w:val="24"/>
                <w:szCs w:val="24"/>
              </w:rPr>
              <w:t>Прием (осмотр) врача-терапевта, включающий установление (уточнение) диагноза, определение (уточнение) группы состояния здоровья, группы диспансерного наблюдения (с учетом заключений врачей-специалистов), а также направление граждан при наличии медицинских показаний на дополнительное обследование, не входящее в объем диспансеризации, для получения специализированной, в том числе высокотехнологичной, медицинской помощи, на санаторно-курортное лечение</w:t>
            </w:r>
            <w:proofErr w:type="gramEnd"/>
          </w:p>
        </w:tc>
        <w:tc>
          <w:tcPr>
            <w:tcW w:w="2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693,08</w:t>
            </w:r>
          </w:p>
        </w:tc>
      </w:tr>
    </w:tbl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5388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661"/>
        <w:gridCol w:w="620"/>
        <w:gridCol w:w="550"/>
        <w:gridCol w:w="940"/>
        <w:gridCol w:w="936"/>
        <w:gridCol w:w="1231"/>
        <w:gridCol w:w="904"/>
        <w:gridCol w:w="936"/>
        <w:gridCol w:w="1231"/>
        <w:gridCol w:w="444"/>
        <w:gridCol w:w="493"/>
        <w:gridCol w:w="543"/>
        <w:gridCol w:w="734"/>
        <w:gridCol w:w="708"/>
      </w:tblGrid>
      <w:tr>
        <w:trPr>
          <w:trHeight w:val="78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Приложение  4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</w:t>
            </w:r>
            <w:proofErr w:type="gramStart"/>
            <w:r>
              <w:rPr>
                <w:color w:val="000000"/>
              </w:rPr>
              <w:t>пп взр</w:t>
            </w:r>
            <w:proofErr w:type="gramEnd"/>
            <w:r>
              <w:rPr>
                <w:color w:val="000000"/>
              </w:rPr>
              <w:t>ослого населения</w:t>
            </w:r>
          </w:p>
        </w:tc>
      </w:tr>
      <w:tr>
        <w:trPr>
          <w:trHeight w:val="42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>
        <w:trPr>
          <w:trHeight w:val="61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>
        <w:trPr>
          <w:trHeight w:val="55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bookmarkStart w:id="1" w:name="RANGE!A4"/>
            <w:r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>
        <w:trPr>
          <w:trHeight w:val="37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>
        <w:trPr>
          <w:trHeight w:val="525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>
        <w:trPr>
          <w:trHeight w:val="346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76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225"/>
        </w:trPr>
        <w:tc>
          <w:tcPr>
            <w:tcW w:w="4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7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900"/>
        </w:trPr>
        <w:tc>
          <w:tcPr>
            <w:tcW w:w="4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>
        <w:trPr>
          <w:trHeight w:val="300"/>
        </w:trPr>
        <w:tc>
          <w:tcPr>
            <w:tcW w:w="353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М.</w:t>
            </w: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15388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>
        <w:trPr>
          <w:trHeight w:val="300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15"/>
        </w:trPr>
        <w:tc>
          <w:tcPr>
            <w:tcW w:w="39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5</w:t>
            </w:r>
            <w:r>
              <w:rPr>
                <w:color w:val="000000"/>
              </w:rPr>
              <w:br/>
              <w:t>к Порядку оплаты диспансеризации</w:t>
            </w:r>
            <w:r>
              <w:rPr>
                <w:color w:val="000000"/>
              </w:rPr>
              <w:br/>
              <w:t>определенных гру</w:t>
            </w:r>
            <w:proofErr w:type="gramStart"/>
            <w:r>
              <w:rPr>
                <w:color w:val="000000"/>
              </w:rPr>
              <w:t>пп взр</w:t>
            </w:r>
            <w:proofErr w:type="gramEnd"/>
            <w:r>
              <w:rPr>
                <w:color w:val="000000"/>
              </w:rPr>
              <w:t>ослого населения</w:t>
            </w:r>
          </w:p>
        </w:tc>
      </w:tr>
      <w:tr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>
              <w:rPr>
                <w:color w:val="000000"/>
                <w:sz w:val="22"/>
                <w:szCs w:val="22"/>
              </w:rPr>
              <w:t>с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</w:tr>
      <w:tr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</w:tr>
      <w:tr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>
      <w:pPr>
        <w:sectPr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/>
    <w:p>
      <w:pPr>
        <w:autoSpaceDE w:val="0"/>
        <w:autoSpaceDN w:val="0"/>
        <w:adjustRightInd w:val="0"/>
        <w:jc w:val="right"/>
        <w:outlineLvl w:val="0"/>
      </w:pPr>
      <w:r>
        <w:t>Приложение  6 к Порядку</w:t>
      </w:r>
    </w:p>
    <w:p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СЧЕТ №____ от «___»__________20___г.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на оплату расходов по проведению диспансеризации</w:t>
      </w:r>
      <w:r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 __________________20____года</w:t>
      </w:r>
    </w:p>
    <w:p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отчетный месяц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Медицинская организация отправитель</w:t>
      </w:r>
      <w:r>
        <w:rPr>
          <w:sz w:val="24"/>
          <w:szCs w:val="24"/>
        </w:rPr>
        <w:t>: _______________________________________</w:t>
      </w:r>
    </w:p>
    <w:p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(наименование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(юридический адрес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Плательщик:</w:t>
      </w:r>
      <w:r>
        <w:rPr>
          <w:sz w:val="24"/>
          <w:szCs w:val="24"/>
        </w:rPr>
        <w:t>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(наименование страховой медицинской организации)</w:t>
      </w:r>
    </w:p>
    <w:p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Адрес: _____________________________________________________________________________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(юридический адрес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ИНН/КПП:____________________________________________________________________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(ИНН и КПП страховой медицинской организации)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Банковские реквизиты____________________________________________________________________</w:t>
      </w:r>
    </w:p>
    <w:p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>
        <w:trPr>
          <w:trHeight w:val="1033"/>
        </w:trPr>
        <w:tc>
          <w:tcPr>
            <w:tcW w:w="4786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Тариф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проведение диспансеризации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(руб.)</w:t>
            </w:r>
          </w:p>
        </w:tc>
      </w:tr>
      <w:tr>
        <w:trPr>
          <w:trHeight w:val="831"/>
        </w:trP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 отдельно по возрастам  (женщины)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диспансеризации 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 отдельно по возрастам  (мужчины)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по каждому виду услуг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  <w:tr>
        <w:tc>
          <w:tcPr>
            <w:tcW w:w="4786" w:type="dxa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>
            <w:pPr>
              <w:jc w:val="both"/>
              <w:rPr>
                <w:sz w:val="24"/>
                <w:szCs w:val="24"/>
              </w:rPr>
            </w:pPr>
          </w:p>
        </w:tc>
      </w:tr>
    </w:tbl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</w:p>
    <w:p>
      <w:pPr>
        <w:jc w:val="both"/>
      </w:pPr>
      <w:r>
        <w:rPr>
          <w:sz w:val="24"/>
          <w:szCs w:val="24"/>
        </w:rPr>
        <w:t>Руководитель медицинской организации    __________________              _______________</w:t>
      </w:r>
    </w:p>
    <w:p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>
      <w:pPr>
        <w:jc w:val="both"/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Главный бухгалтер                __________________              _______________</w:t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>
        <w:rPr>
          <w:sz w:val="24"/>
          <w:szCs w:val="24"/>
        </w:rPr>
        <w:t xml:space="preserve">                </w:t>
      </w:r>
    </w:p>
    <w:p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/>
        </w:tc>
      </w:tr>
    </w:tbl>
    <w:p/>
    <w:p>
      <w:pPr>
        <w:sectPr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60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500"/>
        <w:gridCol w:w="1007"/>
        <w:gridCol w:w="993"/>
        <w:gridCol w:w="574"/>
        <w:gridCol w:w="46"/>
        <w:gridCol w:w="190"/>
        <w:gridCol w:w="519"/>
        <w:gridCol w:w="103"/>
        <w:gridCol w:w="190"/>
        <w:gridCol w:w="46"/>
        <w:gridCol w:w="190"/>
        <w:gridCol w:w="255"/>
        <w:gridCol w:w="339"/>
        <w:gridCol w:w="190"/>
        <w:gridCol w:w="110"/>
        <w:gridCol w:w="126"/>
        <w:gridCol w:w="210"/>
        <w:gridCol w:w="192"/>
        <w:gridCol w:w="44"/>
        <w:gridCol w:w="556"/>
        <w:gridCol w:w="528"/>
        <w:gridCol w:w="44"/>
        <w:gridCol w:w="182"/>
        <w:gridCol w:w="528"/>
        <w:gridCol w:w="44"/>
        <w:gridCol w:w="131"/>
        <w:gridCol w:w="528"/>
        <w:gridCol w:w="186"/>
        <w:gridCol w:w="187"/>
        <w:gridCol w:w="75"/>
        <w:gridCol w:w="45"/>
        <w:gridCol w:w="116"/>
        <w:gridCol w:w="105"/>
        <w:gridCol w:w="182"/>
        <w:gridCol w:w="422"/>
        <w:gridCol w:w="105"/>
        <w:gridCol w:w="48"/>
        <w:gridCol w:w="402"/>
        <w:gridCol w:w="422"/>
        <w:gridCol w:w="105"/>
        <w:gridCol w:w="48"/>
        <w:gridCol w:w="275"/>
        <w:gridCol w:w="422"/>
        <w:gridCol w:w="105"/>
        <w:gridCol w:w="48"/>
        <w:gridCol w:w="297"/>
        <w:gridCol w:w="422"/>
        <w:gridCol w:w="105"/>
        <w:gridCol w:w="48"/>
        <w:gridCol w:w="284"/>
        <w:gridCol w:w="422"/>
        <w:gridCol w:w="105"/>
        <w:gridCol w:w="48"/>
        <w:gridCol w:w="276"/>
        <w:gridCol w:w="422"/>
        <w:gridCol w:w="105"/>
        <w:gridCol w:w="258"/>
        <w:gridCol w:w="171"/>
        <w:gridCol w:w="65"/>
        <w:gridCol w:w="187"/>
      </w:tblGrid>
      <w:tr>
        <w:trPr>
          <w:gridAfter w:val="2"/>
          <w:wAfter w:w="252" w:type="dxa"/>
          <w:trHeight w:val="11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Приложение  7                                                             к Порядку оплаты диспансеризации определенных гру</w:t>
            </w:r>
            <w:proofErr w:type="gramStart"/>
            <w:r>
              <w:rPr>
                <w:color w:val="000000"/>
              </w:rPr>
              <w:t>пп взр</w:t>
            </w:r>
            <w:proofErr w:type="gramEnd"/>
            <w:r>
              <w:rPr>
                <w:color w:val="000000"/>
              </w:rPr>
              <w:t>ослого населения</w:t>
            </w: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754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18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(наименование страховой медицинской организации)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390"/>
        </w:trPr>
        <w:tc>
          <w:tcPr>
            <w:tcW w:w="13967" w:type="dxa"/>
            <w:gridSpan w:val="5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Сведения о принятых к оплате реестрах счетов за 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проведенную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 xml:space="preserve"> диспансеризации взрослого населения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22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24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07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за                         201    г.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36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690"/>
        </w:trPr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Группы</w:t>
            </w:r>
          </w:p>
        </w:tc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№ стр.</w:t>
            </w:r>
          </w:p>
        </w:tc>
        <w:tc>
          <w:tcPr>
            <w:tcW w:w="1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>
              <w:rPr>
                <w:color w:val="000000"/>
                <w:sz w:val="14"/>
                <w:szCs w:val="14"/>
              </w:rPr>
              <w:t>Количес</w:t>
            </w:r>
            <w:proofErr w:type="gramStart"/>
            <w:r>
              <w:rPr>
                <w:color w:val="000000"/>
                <w:sz w:val="14"/>
                <w:szCs w:val="14"/>
              </w:rPr>
              <w:t>т</w:t>
            </w:r>
            <w:proofErr w:type="spellEnd"/>
            <w:r>
              <w:rPr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во меди- </w:t>
            </w:r>
            <w:proofErr w:type="spellStart"/>
            <w:r>
              <w:rPr>
                <w:color w:val="000000"/>
                <w:sz w:val="14"/>
                <w:szCs w:val="14"/>
              </w:rPr>
              <w:t>цинских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органи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заций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, проводящих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серизацию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в отчетном периоде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предъявле</w:t>
            </w:r>
            <w:proofErr w:type="gramStart"/>
            <w:r>
              <w:rPr>
                <w:color w:val="000000"/>
                <w:sz w:val="14"/>
                <w:szCs w:val="14"/>
              </w:rPr>
              <w:t>н-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ных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к оплате реестров счетов в рамках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диспансери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зации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752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12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Всего оплаченных реестров счетов в рамках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>
              <w:rPr>
                <w:color w:val="000000"/>
                <w:sz w:val="14"/>
                <w:szCs w:val="14"/>
              </w:rPr>
              <w:t>и</w:t>
            </w:r>
            <w:proofErr w:type="spellEnd"/>
            <w:r>
              <w:rPr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зации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за отчетный период, </w:t>
            </w:r>
            <w:proofErr w:type="spellStart"/>
            <w:r>
              <w:rPr>
                <w:color w:val="000000"/>
                <w:sz w:val="14"/>
                <w:szCs w:val="14"/>
              </w:rPr>
              <w:t>тыс.рублей</w:t>
            </w:r>
            <w:proofErr w:type="spellEnd"/>
            <w:r>
              <w:rPr>
                <w:color w:val="000000"/>
                <w:sz w:val="14"/>
                <w:szCs w:val="14"/>
              </w:rPr>
              <w:t>*</w:t>
            </w:r>
          </w:p>
        </w:tc>
        <w:tc>
          <w:tcPr>
            <w:tcW w:w="2881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97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Количество граждан, </w:t>
            </w:r>
            <w:proofErr w:type="spellStart"/>
            <w:r>
              <w:rPr>
                <w:color w:val="000000"/>
                <w:sz w:val="14"/>
                <w:szCs w:val="14"/>
              </w:rPr>
              <w:t>направленых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на II этап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диспансер</w:t>
            </w:r>
            <w:proofErr w:type="gramStart"/>
            <w:r>
              <w:rPr>
                <w:color w:val="000000"/>
                <w:sz w:val="14"/>
                <w:szCs w:val="14"/>
              </w:rPr>
              <w:t>и</w:t>
            </w:r>
            <w:proofErr w:type="spellEnd"/>
            <w:r>
              <w:rPr>
                <w:color w:val="000000"/>
                <w:sz w:val="14"/>
                <w:szCs w:val="14"/>
              </w:rPr>
              <w:t>-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color w:val="000000"/>
                <w:sz w:val="14"/>
                <w:szCs w:val="14"/>
              </w:rPr>
              <w:t>зации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 по результатам I этапа </w:t>
            </w:r>
            <w:proofErr w:type="spellStart"/>
            <w:r>
              <w:rPr>
                <w:color w:val="000000"/>
                <w:sz w:val="14"/>
                <w:szCs w:val="14"/>
              </w:rPr>
              <w:t>диспан</w:t>
            </w:r>
            <w:proofErr w:type="spellEnd"/>
            <w:r>
              <w:rPr>
                <w:color w:val="000000"/>
                <w:sz w:val="14"/>
                <w:szCs w:val="14"/>
              </w:rPr>
              <w:t xml:space="preserve">- </w:t>
            </w:r>
            <w:proofErr w:type="spellStart"/>
            <w:r>
              <w:rPr>
                <w:color w:val="000000"/>
                <w:sz w:val="14"/>
                <w:szCs w:val="14"/>
              </w:rPr>
              <w:t>серизации</w:t>
            </w:r>
            <w:proofErr w:type="spellEnd"/>
            <w:r>
              <w:rPr>
                <w:color w:val="000000"/>
                <w:sz w:val="14"/>
                <w:szCs w:val="14"/>
              </w:rPr>
              <w:t>, человек</w:t>
            </w:r>
          </w:p>
        </w:tc>
        <w:tc>
          <w:tcPr>
            <w:tcW w:w="421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Группы состояния здоровья застрахованных лиц, прошедших диспансеризацию</w:t>
            </w:r>
          </w:p>
        </w:tc>
      </w:tr>
      <w:tr>
        <w:trPr>
          <w:gridAfter w:val="3"/>
          <w:wAfter w:w="423" w:type="dxa"/>
          <w:trHeight w:val="24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 этапа</w:t>
            </w:r>
          </w:p>
        </w:tc>
        <w:tc>
          <w:tcPr>
            <w:tcW w:w="142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 рамках II этапа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3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57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42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421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</w:tr>
      <w:tr>
        <w:trPr>
          <w:gridAfter w:val="3"/>
          <w:wAfter w:w="423" w:type="dxa"/>
          <w:trHeight w:val="2400"/>
        </w:trPr>
        <w:tc>
          <w:tcPr>
            <w:tcW w:w="1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112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кол-во счетов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рублей</w:t>
            </w:r>
          </w:p>
        </w:tc>
        <w:tc>
          <w:tcPr>
            <w:tcW w:w="977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 группа состояния здоровья, человек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 группа состояния здоровья, человек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III группа состояния здоровья, человек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>
              <w:rPr>
                <w:color w:val="000000"/>
                <w:sz w:val="14"/>
                <w:szCs w:val="14"/>
              </w:rPr>
              <w:t>III</w:t>
            </w:r>
            <w:proofErr w:type="gramStart"/>
            <w:r>
              <w:rPr>
                <w:color w:val="000000"/>
                <w:sz w:val="14"/>
                <w:szCs w:val="14"/>
              </w:rPr>
              <w:t>а</w:t>
            </w:r>
            <w:proofErr w:type="spellEnd"/>
            <w:proofErr w:type="gramEnd"/>
            <w:r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proofErr w:type="spellStart"/>
            <w:r>
              <w:rPr>
                <w:color w:val="000000"/>
                <w:sz w:val="14"/>
                <w:szCs w:val="14"/>
              </w:rPr>
              <w:t>III</w:t>
            </w:r>
            <w:proofErr w:type="gramStart"/>
            <w:r>
              <w:rPr>
                <w:color w:val="000000"/>
                <w:sz w:val="14"/>
                <w:szCs w:val="14"/>
              </w:rPr>
              <w:t>б</w:t>
            </w:r>
            <w:proofErr w:type="spellEnd"/>
            <w:proofErr w:type="gramEnd"/>
            <w:r>
              <w:rPr>
                <w:color w:val="000000"/>
                <w:sz w:val="14"/>
                <w:szCs w:val="14"/>
              </w:rPr>
              <w:t xml:space="preserve"> группа состояния здоровья, человек</w:t>
            </w:r>
          </w:p>
        </w:tc>
      </w:tr>
      <w:tr>
        <w:trPr>
          <w:gridAfter w:val="3"/>
          <w:wAfter w:w="423" w:type="dxa"/>
          <w:trHeight w:val="28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785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</w:t>
            </w:r>
          </w:p>
        </w:tc>
      </w:tr>
      <w:tr>
        <w:trPr>
          <w:gridAfter w:val="3"/>
          <w:wAfter w:w="423" w:type="dxa"/>
          <w:trHeight w:val="85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Всего взрослых (в возрасте 18 лет и старше)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3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645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Работающих граждан из них: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30"/>
        </w:trPr>
        <w:tc>
          <w:tcPr>
            <w:tcW w:w="114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36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lastRenderedPageBreak/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60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Неработающих граждан из них: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  <w:sz w:val="18"/>
                <w:szCs w:val="18"/>
              </w:rPr>
            </w:pPr>
            <w:r>
              <w:rPr>
                <w:color w:val="0070C0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>
        <w:trPr>
          <w:gridAfter w:val="3"/>
          <w:wAfter w:w="423" w:type="dxa"/>
          <w:trHeight w:val="39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43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  <w:sz w:val="18"/>
                <w:szCs w:val="18"/>
              </w:rPr>
            </w:pPr>
            <w:r>
              <w:rPr>
                <w:color w:val="808080"/>
                <w:sz w:val="18"/>
                <w:szCs w:val="18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</w:pPr>
            <w: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</w:pPr>
            <w:r>
              <w:t> </w:t>
            </w:r>
          </w:p>
        </w:tc>
      </w:tr>
      <w:tr>
        <w:trPr>
          <w:gridAfter w:val="3"/>
          <w:wAfter w:w="423" w:type="dxa"/>
          <w:trHeight w:val="118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proofErr w:type="spellStart"/>
            <w:proofErr w:type="gramStart"/>
            <w:r>
              <w:rPr>
                <w:color w:val="000000"/>
                <w:sz w:val="14"/>
                <w:szCs w:val="14"/>
              </w:rPr>
              <w:t>Справочно</w:t>
            </w:r>
            <w:proofErr w:type="spellEnd"/>
            <w:r>
              <w:rPr>
                <w:color w:val="000000"/>
                <w:sz w:val="14"/>
                <w:szCs w:val="14"/>
              </w:rPr>
              <w:t>: из строки 1 обучающиеся в образовательных организациях по очной форме</w:t>
            </w:r>
            <w:proofErr w:type="gramEnd"/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70C0"/>
              </w:rPr>
            </w:pPr>
            <w:r>
              <w:rPr>
                <w:color w:val="0070C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48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2 мужчины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49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из строки 3 женщины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808080"/>
              </w:rPr>
            </w:pPr>
            <w:r>
              <w:rPr>
                <w:color w:val="80808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3"/>
          <w:wAfter w:w="423" w:type="dxa"/>
          <w:trHeight w:val="570"/>
        </w:trPr>
        <w:tc>
          <w:tcPr>
            <w:tcW w:w="13967" w:type="dxa"/>
            <w:gridSpan w:val="5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60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00"/>
        </w:trPr>
        <w:tc>
          <w:tcPr>
            <w:tcW w:w="2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Директор филиала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2"/>
          <w:wAfter w:w="252" w:type="dxa"/>
          <w:trHeight w:val="165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330"/>
        </w:trPr>
        <w:tc>
          <w:tcPr>
            <w:tcW w:w="265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Главный бухгалтер</w:t>
            </w:r>
          </w:p>
        </w:tc>
        <w:tc>
          <w:tcPr>
            <w:tcW w:w="156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trHeight w:val="180"/>
        </w:trPr>
        <w:tc>
          <w:tcPr>
            <w:tcW w:w="265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16" w:type="dxa"/>
            <w:gridSpan w:val="2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(расшифровка подписи)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>
        <w:trPr>
          <w:gridAfter w:val="1"/>
          <w:wAfter w:w="187" w:type="dxa"/>
          <w:trHeight w:val="225"/>
        </w:trPr>
        <w:tc>
          <w:tcPr>
            <w:tcW w:w="42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</w:p>
          <w:p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Исполнитель </w:t>
            </w:r>
          </w:p>
        </w:tc>
        <w:tc>
          <w:tcPr>
            <w:tcW w:w="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/>
    <w:sectPr>
      <w:pgSz w:w="16838" w:h="11906" w:orient="landscape"/>
      <w:pgMar w:top="1418" w:right="1134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Pr>
      <w:color w:val="0000FF"/>
      <w:u w:val="single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</w:style>
  <w:style w:type="paragraph" w:styleId="ac">
    <w:name w:val="foot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9C3C-AC01-41A3-BD33-7B9FE1417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1793</TotalTime>
  <Pages>15</Pages>
  <Words>3287</Words>
  <Characters>26476</Characters>
  <Application>Microsoft Office Word</Application>
  <DocSecurity>0</DocSecurity>
  <Lines>220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29704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Казенцева О.И.</cp:lastModifiedBy>
  <cp:revision>145</cp:revision>
  <cp:lastPrinted>2016-01-25T03:17:00Z</cp:lastPrinted>
  <dcterms:created xsi:type="dcterms:W3CDTF">2013-04-08T23:06:00Z</dcterms:created>
  <dcterms:modified xsi:type="dcterms:W3CDTF">2016-11-08T00:23:00Z</dcterms:modified>
</cp:coreProperties>
</file>